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EF1"/>
  <w:body>
    <w:p w14:paraId="2BBBB0E7" w14:textId="5690296A" w:rsidR="003A35DD" w:rsidRPr="002135FC" w:rsidRDefault="00A351AD" w:rsidP="006C0B5B">
      <w:pPr>
        <w:pStyle w:val="Title"/>
        <w:rPr>
          <w:sz w:val="60"/>
          <w:szCs w:val="60"/>
        </w:rPr>
      </w:pPr>
      <w:r w:rsidRPr="002135FC">
        <w:rPr>
          <w:sz w:val="60"/>
          <w:szCs w:val="60"/>
        </w:rPr>
        <w:t>How to d</w:t>
      </w:r>
      <w:r w:rsidR="006852C5" w:rsidRPr="002135FC">
        <w:rPr>
          <w:sz w:val="60"/>
          <w:szCs w:val="60"/>
        </w:rPr>
        <w:t>ecolonis</w:t>
      </w:r>
      <w:r w:rsidRPr="002135FC">
        <w:rPr>
          <w:sz w:val="60"/>
          <w:szCs w:val="60"/>
        </w:rPr>
        <w:t>e</w:t>
      </w:r>
      <w:r w:rsidR="009A3FA1" w:rsidRPr="002135FC">
        <w:rPr>
          <w:sz w:val="60"/>
          <w:szCs w:val="60"/>
        </w:rPr>
        <w:t xml:space="preserve"> </w:t>
      </w:r>
      <w:r w:rsidR="006852C5" w:rsidRPr="002135FC">
        <w:rPr>
          <w:sz w:val="60"/>
          <w:szCs w:val="60"/>
        </w:rPr>
        <w:t>meetings</w:t>
      </w:r>
    </w:p>
    <w:p w14:paraId="6410C480" w14:textId="3AF27666" w:rsidR="00B3718A" w:rsidRPr="00523965" w:rsidRDefault="002135FC" w:rsidP="006C0B5B">
      <w:pPr>
        <w:pStyle w:val="Title"/>
        <w:rPr>
          <w:b w:val="0"/>
          <w:bCs/>
          <w:sz w:val="40"/>
          <w:szCs w:val="40"/>
        </w:rPr>
      </w:pPr>
      <w:r>
        <w:rPr>
          <w:b w:val="0"/>
          <w:bCs/>
          <w:sz w:val="40"/>
          <w:szCs w:val="40"/>
        </w:rPr>
        <w:t>L</w:t>
      </w:r>
      <w:r w:rsidR="006852C5" w:rsidRPr="00523965">
        <w:rPr>
          <w:b w:val="0"/>
          <w:bCs/>
          <w:sz w:val="40"/>
          <w:szCs w:val="40"/>
        </w:rPr>
        <w:t>anguage, interpretation, and translation</w:t>
      </w:r>
    </w:p>
    <w:p w14:paraId="1C4D15FE" w14:textId="6E545742" w:rsidR="006852C5" w:rsidRPr="002E3E60" w:rsidRDefault="002E3E60" w:rsidP="002E3E60">
      <w:pPr>
        <w:pStyle w:val="Note"/>
      </w:pPr>
      <w:r w:rsidRPr="002E3E60">
        <w:rPr>
          <w:b/>
          <w:bCs/>
        </w:rPr>
        <w:t>Note</w:t>
      </w:r>
      <w:r>
        <w:rPr>
          <w:b/>
          <w:bCs/>
        </w:rPr>
        <w:t xml:space="preserve"> for both white and for black and brown practitioners</w:t>
      </w:r>
      <w:r w:rsidRPr="002E3E60">
        <w:rPr>
          <w:b/>
          <w:bCs/>
        </w:rPr>
        <w:t>:</w:t>
      </w:r>
      <w:r>
        <w:t xml:space="preserve"> </w:t>
      </w:r>
      <w:r w:rsidR="006852C5" w:rsidRPr="002E3E60">
        <w:t xml:space="preserve">Historically, English has been the language of </w:t>
      </w:r>
      <w:r>
        <w:t xml:space="preserve">both </w:t>
      </w:r>
      <w:r w:rsidR="006852C5" w:rsidRPr="002E3E60">
        <w:t>instruction and authority, and the use of indigenous language has been discouraged in professional and educational spaces. There is a huge benefit to decolonisation processes if this can be reversed.</w:t>
      </w:r>
    </w:p>
    <w:p w14:paraId="270190A3" w14:textId="7D172135" w:rsidR="003450A3" w:rsidRPr="00E536A0" w:rsidRDefault="003450A3" w:rsidP="00680A99">
      <w:pPr>
        <w:pStyle w:val="Introductory"/>
        <w:jc w:val="center"/>
        <w:rPr>
          <w:bCs/>
        </w:rPr>
        <w:sectPr w:rsidR="003450A3" w:rsidRPr="00E536A0" w:rsidSect="00F008F9">
          <w:footerReference w:type="default" r:id="rId10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14:paraId="05B58065" w14:textId="7A88052F" w:rsidR="00EE6DB8" w:rsidRPr="006852C5" w:rsidRDefault="00AC64D9" w:rsidP="006852C5">
      <w:pPr>
        <w:pStyle w:val="Heading1"/>
        <w:rPr>
          <w:b w:val="0"/>
          <w:bCs/>
          <w:sz w:val="26"/>
          <w:szCs w:val="26"/>
        </w:rPr>
      </w:pPr>
      <w:r w:rsidRPr="006852C5">
        <w:t>Yieldin</w:t>
      </w:r>
      <w:r w:rsidR="00FB3169">
        <w:t>g Power</w:t>
      </w:r>
    </w:p>
    <w:p w14:paraId="07F16174" w14:textId="6D2852AE" w:rsidR="006A65E5" w:rsidRDefault="006852C5" w:rsidP="001644A9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Encourage black and brown colleagues to run meetings and processes in their own </w:t>
      </w:r>
      <w:r w:rsidR="006A65E5">
        <w:t>language</w:t>
      </w:r>
      <w:r w:rsidR="00DF4DCA">
        <w:t xml:space="preserve">. Let </w:t>
      </w:r>
      <w:r>
        <w:t xml:space="preserve">them </w:t>
      </w:r>
      <w:r w:rsidR="00DF4DCA">
        <w:t xml:space="preserve">know </w:t>
      </w:r>
      <w:r>
        <w:t>that you are happy to be supported with someone to translate for you</w:t>
      </w:r>
      <w:r w:rsidR="006A65E5">
        <w:t>.</w:t>
      </w:r>
    </w:p>
    <w:p w14:paraId="70BA4485" w14:textId="3EA63362" w:rsidR="006A65E5" w:rsidRDefault="006A65E5" w:rsidP="001644A9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Check with partners to see if translat</w:t>
      </w:r>
      <w:r w:rsidR="00F14D38">
        <w:t>ing</w:t>
      </w:r>
      <w:r>
        <w:t xml:space="preserve"> key documents into local languages is required or preferred.</w:t>
      </w:r>
    </w:p>
    <w:p w14:paraId="390BE0AB" w14:textId="462BF28C" w:rsidR="00E227DC" w:rsidRDefault="006A65E5" w:rsidP="001644A9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Take translation and interpretation costs into account when designing and budgeting</w:t>
      </w:r>
      <w:r w:rsidR="00EA3A46">
        <w:t xml:space="preserve"> for</w:t>
      </w:r>
      <w:r>
        <w:t xml:space="preserve"> programs.</w:t>
      </w:r>
    </w:p>
    <w:p w14:paraId="17D3C8A0" w14:textId="047C14EA" w:rsidR="006A65E5" w:rsidRDefault="006A65E5" w:rsidP="001644A9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Explore how online meeting systems can be used to support interpretation. For example, you can enable interpretation for </w:t>
      </w:r>
      <w:hyperlink r:id="rId11" w:history="1">
        <w:r w:rsidRPr="00E73AEA">
          <w:rPr>
            <w:rStyle w:val="Hyperlink"/>
            <w:b/>
            <w:bCs/>
          </w:rPr>
          <w:t>Zoom</w:t>
        </w:r>
      </w:hyperlink>
      <w:r>
        <w:t xml:space="preserve">, </w:t>
      </w:r>
      <w:hyperlink r:id="rId12" w:history="1">
        <w:r w:rsidRPr="00E73AEA">
          <w:rPr>
            <w:rStyle w:val="Hyperlink"/>
            <w:b/>
            <w:bCs/>
          </w:rPr>
          <w:t>Webex</w:t>
        </w:r>
      </w:hyperlink>
      <w:r>
        <w:t xml:space="preserve">, and </w:t>
      </w:r>
      <w:hyperlink r:id="rId13" w:history="1">
        <w:r w:rsidRPr="00E73AEA">
          <w:rPr>
            <w:rStyle w:val="Hyperlink"/>
            <w:b/>
            <w:bCs/>
          </w:rPr>
          <w:t>Google Meet</w:t>
        </w:r>
      </w:hyperlink>
      <w:r>
        <w:t>.</w:t>
      </w:r>
    </w:p>
    <w:p w14:paraId="5443DE38" w14:textId="628E9A84" w:rsidR="003F44D1" w:rsidRDefault="006A65E5" w:rsidP="001644A9">
      <w:pPr>
        <w:pStyle w:val="ListParagraph"/>
        <w:numPr>
          <w:ilvl w:val="0"/>
          <w:numId w:val="1"/>
        </w:numPr>
        <w:spacing w:before="240" w:after="240"/>
        <w:ind w:left="425" w:hanging="425"/>
        <w:contextualSpacing w:val="0"/>
      </w:pPr>
      <w:r>
        <w:t xml:space="preserve">Build resilience to not knowing everything that’s going on and </w:t>
      </w:r>
      <w:r w:rsidR="000C3B91">
        <w:t xml:space="preserve">to </w:t>
      </w:r>
      <w:r>
        <w:t>the possibility that people are discussing you without you knowing. The long-term empowerment benefits of people using their own language</w:t>
      </w:r>
      <w:r w:rsidR="000C3B91">
        <w:t xml:space="preserve"> </w:t>
      </w:r>
      <w:r w:rsidR="000C3B91">
        <w:rPr>
          <w:rFonts w:cs="Arial"/>
        </w:rPr>
        <w:t>–</w:t>
      </w:r>
      <w:r>
        <w:t xml:space="preserve"> and the improved program outcomes of people having more honest conversations</w:t>
      </w:r>
      <w:r w:rsidR="000C3B91">
        <w:t xml:space="preserve"> </w:t>
      </w:r>
      <w:r w:rsidR="000C3B91">
        <w:rPr>
          <w:rFonts w:cs="Arial"/>
        </w:rPr>
        <w:t>–</w:t>
      </w:r>
      <w:r>
        <w:t xml:space="preserve"> will outweigh your short-term discomfort.</w:t>
      </w:r>
    </w:p>
    <w:p w14:paraId="737D02AE" w14:textId="44C7B975" w:rsidR="00A634B9" w:rsidRPr="006852C5" w:rsidRDefault="00AC64D9" w:rsidP="006852C5">
      <w:pPr>
        <w:pStyle w:val="Heading1"/>
        <w:rPr>
          <w:b w:val="0"/>
          <w:bCs/>
          <w:sz w:val="26"/>
          <w:szCs w:val="26"/>
        </w:rPr>
      </w:pPr>
      <w:r w:rsidRPr="006852C5">
        <w:t>Wieldin</w:t>
      </w:r>
      <w:r w:rsidR="00FB3169">
        <w:t>g Power</w:t>
      </w:r>
    </w:p>
    <w:p w14:paraId="6DC0D79B" w14:textId="5F044C51" w:rsidR="00D4774C" w:rsidRDefault="00880AA5" w:rsidP="00883123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Explain to white management and colleagues why using your own language is important in the office space and in implementing programs with stakeholders</w:t>
      </w:r>
      <w:r w:rsidR="00D4774C">
        <w:t>.</w:t>
      </w:r>
    </w:p>
    <w:p w14:paraId="42F09A17" w14:textId="388BD4B7" w:rsidR="00880AA5" w:rsidRDefault="00880AA5" w:rsidP="00883123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Build some skills in translating, interpreting and/or reassuring your white colleagues that you will be providing them with the information they need from processes which are not run in English.</w:t>
      </w:r>
    </w:p>
    <w:p w14:paraId="151D1ECE" w14:textId="77777777" w:rsidR="00EA3A46" w:rsidRDefault="00880AA5" w:rsidP="00C03336">
      <w:pPr>
        <w:pStyle w:val="ListParagraph"/>
        <w:numPr>
          <w:ilvl w:val="0"/>
          <w:numId w:val="2"/>
        </w:numPr>
        <w:spacing w:before="120" w:after="4200"/>
        <w:ind w:left="425" w:hanging="425"/>
        <w:contextualSpacing w:val="0"/>
      </w:pPr>
      <w:r>
        <w:t xml:space="preserve">Explore how online meeting systems can be used to support interpretation. For example, you can enable interpretation for </w:t>
      </w:r>
      <w:hyperlink r:id="rId14" w:history="1">
        <w:r w:rsidRPr="00E73AEA">
          <w:rPr>
            <w:rStyle w:val="Hyperlink"/>
            <w:b/>
            <w:bCs/>
          </w:rPr>
          <w:t>Zoom</w:t>
        </w:r>
      </w:hyperlink>
      <w:r>
        <w:t xml:space="preserve">, </w:t>
      </w:r>
      <w:hyperlink r:id="rId15" w:history="1">
        <w:r w:rsidRPr="00E73AEA">
          <w:rPr>
            <w:rStyle w:val="Hyperlink"/>
            <w:b/>
            <w:bCs/>
          </w:rPr>
          <w:t>Webex</w:t>
        </w:r>
      </w:hyperlink>
      <w:r>
        <w:t xml:space="preserve">, and </w:t>
      </w:r>
      <w:hyperlink r:id="rId16" w:history="1">
        <w:r w:rsidRPr="00E73AEA">
          <w:rPr>
            <w:rStyle w:val="Hyperlink"/>
            <w:b/>
            <w:bCs/>
          </w:rPr>
          <w:t>Google Meet</w:t>
        </w:r>
      </w:hyperlink>
      <w:r w:rsidR="000479D0">
        <w:t>.</w:t>
      </w:r>
    </w:p>
    <w:p w14:paraId="00E0DCBC" w14:textId="1F04C598" w:rsidR="00A60D48" w:rsidRDefault="00A41587" w:rsidP="00C03336">
      <w:pPr>
        <w:pStyle w:val="ListParagraph"/>
        <w:numPr>
          <w:ilvl w:val="0"/>
          <w:numId w:val="2"/>
        </w:numPr>
        <w:spacing w:before="120" w:after="4200"/>
        <w:ind w:left="425" w:hanging="425"/>
        <w:contextualSpacing w:val="0"/>
        <w:sectPr w:rsidR="00A60D48" w:rsidSect="00700651">
          <w:type w:val="continuous"/>
          <w:pgSz w:w="11906" w:h="16838"/>
          <w:pgMar w:top="1276" w:right="720" w:bottom="0" w:left="720" w:header="708" w:footer="708" w:gutter="0"/>
          <w:cols w:num="2" w:space="708"/>
          <w:docGrid w:linePitch="360"/>
        </w:sectPr>
      </w:pPr>
      <w:r>
        <w:br w:type="page"/>
      </w:r>
    </w:p>
    <w:p w14:paraId="63DD62AF" w14:textId="1E19B7E6" w:rsidR="003A35DD" w:rsidRPr="00A36628" w:rsidRDefault="00D076D8" w:rsidP="00F56600">
      <w:pPr>
        <w:pStyle w:val="Title"/>
        <w:rPr>
          <w:sz w:val="60"/>
          <w:szCs w:val="60"/>
        </w:rPr>
      </w:pPr>
      <w:r w:rsidRPr="00A36628">
        <w:rPr>
          <w:sz w:val="60"/>
          <w:szCs w:val="60"/>
        </w:rPr>
        <w:lastRenderedPageBreak/>
        <w:t>How to d</w:t>
      </w:r>
      <w:r w:rsidR="00880AA5" w:rsidRPr="00A36628">
        <w:rPr>
          <w:sz w:val="60"/>
          <w:szCs w:val="60"/>
        </w:rPr>
        <w:t>ecolonis</w:t>
      </w:r>
      <w:r w:rsidRPr="00A36628">
        <w:rPr>
          <w:sz w:val="60"/>
          <w:szCs w:val="60"/>
        </w:rPr>
        <w:t>e</w:t>
      </w:r>
      <w:r w:rsidR="00880AA5" w:rsidRPr="00A36628">
        <w:rPr>
          <w:sz w:val="60"/>
          <w:szCs w:val="60"/>
        </w:rPr>
        <w:t xml:space="preserve"> meetings</w:t>
      </w:r>
    </w:p>
    <w:p w14:paraId="095CD386" w14:textId="5742F0EC" w:rsidR="00A60D48" w:rsidRPr="00D076D8" w:rsidRDefault="007E6551" w:rsidP="00F56600">
      <w:pPr>
        <w:pStyle w:val="Title"/>
        <w:rPr>
          <w:b w:val="0"/>
          <w:bCs/>
          <w:sz w:val="40"/>
          <w:szCs w:val="40"/>
        </w:rPr>
      </w:pPr>
      <w:r>
        <w:rPr>
          <w:b w:val="0"/>
          <w:bCs/>
          <w:sz w:val="40"/>
          <w:szCs w:val="40"/>
        </w:rPr>
        <w:t>P</w:t>
      </w:r>
      <w:r w:rsidR="00AC0B33" w:rsidRPr="00D076D8">
        <w:rPr>
          <w:b w:val="0"/>
          <w:bCs/>
          <w:sz w:val="40"/>
          <w:szCs w:val="40"/>
        </w:rPr>
        <w:t xml:space="preserve">reparing </w:t>
      </w:r>
      <w:r>
        <w:rPr>
          <w:b w:val="0"/>
          <w:bCs/>
          <w:sz w:val="40"/>
          <w:szCs w:val="40"/>
        </w:rPr>
        <w:t xml:space="preserve">for </w:t>
      </w:r>
      <w:r w:rsidR="00AC0B33" w:rsidRPr="00D076D8">
        <w:rPr>
          <w:b w:val="0"/>
          <w:bCs/>
          <w:sz w:val="40"/>
          <w:szCs w:val="40"/>
        </w:rPr>
        <w:t>and participating in decolonised meetings</w:t>
      </w:r>
    </w:p>
    <w:p w14:paraId="24BB4788" w14:textId="4E52C51E" w:rsidR="002E3E60" w:rsidRPr="002E3E60" w:rsidRDefault="002E3E60" w:rsidP="002E3E60">
      <w:pPr>
        <w:pStyle w:val="Note"/>
      </w:pPr>
      <w:r w:rsidRPr="002E3E60">
        <w:rPr>
          <w:b/>
          <w:bCs/>
        </w:rPr>
        <w:t>Note</w:t>
      </w:r>
      <w:r>
        <w:rPr>
          <w:b/>
          <w:bCs/>
        </w:rPr>
        <w:t xml:space="preserve"> for both white and for black and brown practitioners</w:t>
      </w:r>
      <w:r w:rsidRPr="002E3E60">
        <w:rPr>
          <w:b/>
          <w:bCs/>
        </w:rPr>
        <w:t>:</w:t>
      </w:r>
      <w:r>
        <w:t xml:space="preserve"> Be aware of, and a</w:t>
      </w:r>
      <w:r w:rsidRPr="002E3E60">
        <w:t xml:space="preserve">ctively break down social barriers – make sure there </w:t>
      </w:r>
      <w:r w:rsidRPr="001826EE">
        <w:t>are not ‘expatriate</w:t>
      </w:r>
      <w:r w:rsidRPr="002E3E60">
        <w:t xml:space="preserve"> groups’ and ‘local groups’ at meetings and functions.</w:t>
      </w:r>
    </w:p>
    <w:p w14:paraId="4D80D1FE" w14:textId="72A0B2C5" w:rsidR="002E3E60" w:rsidRPr="002E3E60" w:rsidRDefault="002E3E60" w:rsidP="002E3E60">
      <w:pPr>
        <w:sectPr w:rsidR="002E3E60" w:rsidRPr="002E3E60" w:rsidSect="00C52E71">
          <w:type w:val="continuous"/>
          <w:pgSz w:w="11906" w:h="16838"/>
          <w:pgMar w:top="284" w:right="720" w:bottom="0" w:left="720" w:header="708" w:footer="708" w:gutter="0"/>
          <w:cols w:space="708"/>
          <w:docGrid w:linePitch="360"/>
        </w:sectPr>
      </w:pPr>
    </w:p>
    <w:p w14:paraId="57FF397F" w14:textId="3FED879A" w:rsidR="00C6557B" w:rsidRPr="00C03336" w:rsidRDefault="00FD083F" w:rsidP="00C03336">
      <w:pPr>
        <w:pStyle w:val="Heading1"/>
        <w:rPr>
          <w:b w:val="0"/>
          <w:bCs/>
          <w:sz w:val="26"/>
          <w:szCs w:val="26"/>
        </w:rPr>
      </w:pPr>
      <w:r w:rsidRPr="001644A9">
        <w:t>Yieldin</w:t>
      </w:r>
      <w:r w:rsidR="00957719">
        <w:t>g Power</w:t>
      </w:r>
    </w:p>
    <w:p w14:paraId="0050A6E9" w14:textId="65E800B6" w:rsidR="00FD083F" w:rsidRDefault="00C03336" w:rsidP="00FD083F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 xml:space="preserve">Ensure </w:t>
      </w:r>
      <w:r w:rsidR="00957719">
        <w:t xml:space="preserve">that </w:t>
      </w:r>
      <w:r>
        <w:t>sufficient time is available for meals, socialising and ‘fellowship’ during meetings and workshops.</w:t>
      </w:r>
    </w:p>
    <w:p w14:paraId="6176FE3E" w14:textId="410DC462" w:rsidR="00A948CC" w:rsidRDefault="00C03336" w:rsidP="00FD083F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 xml:space="preserve">Assume all meetings and workshops will be opened with a prayer, even if the processes are hosted in Australia for an Australian group. </w:t>
      </w:r>
      <w:r w:rsidR="00B04782">
        <w:t>By doing so, you</w:t>
      </w:r>
      <w:r>
        <w:t xml:space="preserve"> will demonstrate willingness from the white team to give up the primacy of their cultural environment.</w:t>
      </w:r>
    </w:p>
    <w:p w14:paraId="4A687C82" w14:textId="10165DDB" w:rsidR="00AC0B33" w:rsidRDefault="00AC0B33" w:rsidP="00C52E71">
      <w:pPr>
        <w:pStyle w:val="ListParagraph"/>
        <w:numPr>
          <w:ilvl w:val="0"/>
          <w:numId w:val="1"/>
        </w:numPr>
        <w:spacing w:before="120" w:after="120"/>
        <w:ind w:left="425" w:hanging="425"/>
        <w:contextualSpacing w:val="0"/>
      </w:pPr>
      <w:r>
        <w:t xml:space="preserve">Deconstruct any meeting spaces which implicitly or explicitly establish your or your white colleagues as superior (for example, being seated at the head of the table, or </w:t>
      </w:r>
      <w:r w:rsidR="00B04782">
        <w:t xml:space="preserve">being </w:t>
      </w:r>
      <w:r>
        <w:t>seated on a chair and not on a mat).</w:t>
      </w:r>
    </w:p>
    <w:p w14:paraId="077FEEAC" w14:textId="3E7FCE27" w:rsidR="00566567" w:rsidRDefault="00566567" w:rsidP="00C52E71">
      <w:pPr>
        <w:pStyle w:val="ListParagraph"/>
        <w:numPr>
          <w:ilvl w:val="0"/>
          <w:numId w:val="1"/>
        </w:numPr>
        <w:spacing w:before="120" w:after="120"/>
        <w:ind w:left="425" w:hanging="425"/>
        <w:contextualSpacing w:val="0"/>
      </w:pPr>
      <w:r>
        <w:t>Learn to be comfortable with silence. If there is silence in a meeting, don’t feel you need to fill it. Count to 10, then count to 10 again.</w:t>
      </w:r>
    </w:p>
    <w:p w14:paraId="48148F93" w14:textId="1A3E4892" w:rsidR="00566567" w:rsidRDefault="00566567" w:rsidP="00C52E71">
      <w:pPr>
        <w:pStyle w:val="ListParagraph"/>
        <w:numPr>
          <w:ilvl w:val="0"/>
          <w:numId w:val="1"/>
        </w:numPr>
        <w:spacing w:before="120" w:after="120"/>
        <w:ind w:left="425" w:hanging="425"/>
        <w:contextualSpacing w:val="0"/>
      </w:pPr>
      <w:r>
        <w:t>Foster spaces where black and brown colleagues feel comfortable expressing the intersect between their beliefs and work, especially belief in God and Christian views.</w:t>
      </w:r>
    </w:p>
    <w:p w14:paraId="08A53A98" w14:textId="1AF2ED65" w:rsidR="00033977" w:rsidRDefault="00033977" w:rsidP="00C52E71">
      <w:pPr>
        <w:pStyle w:val="ListParagraph"/>
        <w:numPr>
          <w:ilvl w:val="0"/>
          <w:numId w:val="1"/>
        </w:numPr>
        <w:spacing w:before="120" w:after="120"/>
        <w:ind w:left="425" w:hanging="425"/>
        <w:contextualSpacing w:val="0"/>
      </w:pPr>
      <w:r>
        <w:t>Observe Pacific protocols in all engagements with stakeholders. Recognise the additional burden on black and brown staff to educate white staff on local customs and protocols.</w:t>
      </w:r>
    </w:p>
    <w:p w14:paraId="74BB0D43" w14:textId="2C2B24A6" w:rsidR="00C6557B" w:rsidRPr="00C03336" w:rsidRDefault="00642567" w:rsidP="00C03336">
      <w:pPr>
        <w:pStyle w:val="Heading1"/>
        <w:rPr>
          <w:b w:val="0"/>
          <w:bCs/>
          <w:sz w:val="26"/>
          <w:szCs w:val="26"/>
        </w:rPr>
      </w:pPr>
      <w:r w:rsidRPr="001644A9">
        <w:t>Wieldin</w:t>
      </w:r>
      <w:r w:rsidR="00957719">
        <w:t>g Power</w:t>
      </w:r>
    </w:p>
    <w:p w14:paraId="3C8FC85B" w14:textId="5BE9FACD" w:rsidR="00DC27C9" w:rsidRDefault="00C03336" w:rsidP="0034492E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>Guide the development of the schedules of meetings and workshops to ensure Pacific Islander priorities are reflected.</w:t>
      </w:r>
    </w:p>
    <w:p w14:paraId="611B966D" w14:textId="5DE71824" w:rsidR="00C6557B" w:rsidRDefault="00C03336" w:rsidP="00C03336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 xml:space="preserve">Offer to provide an opening prayer if it seems that white colleagues are not going to </w:t>
      </w:r>
      <w:r w:rsidR="00385D5A">
        <w:t>include it in</w:t>
      </w:r>
      <w:r>
        <w:t xml:space="preserve"> a meeting or process. Demonstrate inclusivity by acknowledging other faiths</w:t>
      </w:r>
      <w:r w:rsidR="00AC0B33">
        <w:t xml:space="preserve"> represented in the room and by inviting them to give a prayer, meditation, or devotion.</w:t>
      </w:r>
    </w:p>
    <w:p w14:paraId="5852D691" w14:textId="66541F95" w:rsidR="00997F24" w:rsidRDefault="00AC0B33" w:rsidP="00997F24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 xml:space="preserve">Accept sitting at the head </w:t>
      </w:r>
      <w:r w:rsidR="00566567">
        <w:t>of the table or in other positions of ‘spatial power’ in meetings</w:t>
      </w:r>
      <w:r w:rsidR="00C60267">
        <w:t>. E</w:t>
      </w:r>
      <w:r w:rsidR="00566567">
        <w:t>ncourage your black and brown colleagues to do likewise</w:t>
      </w:r>
      <w:r w:rsidR="0034492E">
        <w:t>.</w:t>
      </w:r>
    </w:p>
    <w:p w14:paraId="08E694EF" w14:textId="02C6DCE1" w:rsidR="00566567" w:rsidRDefault="00566567" w:rsidP="00566567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 xml:space="preserve">Express your views in meetings, even if this </w:t>
      </w:r>
      <w:r w:rsidR="00C60267">
        <w:t xml:space="preserve">sometimes </w:t>
      </w:r>
      <w:r>
        <w:t>makes you feel exposed or uncomfortable.</w:t>
      </w:r>
    </w:p>
    <w:p w14:paraId="6B8C5EBE" w14:textId="4F908F98" w:rsidR="00566567" w:rsidRDefault="00566567" w:rsidP="00566567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>Do not self-censor or remove reference to your beliefs from your discourse.</w:t>
      </w:r>
    </w:p>
    <w:p w14:paraId="3FE90FE0" w14:textId="3209C499" w:rsidR="00033977" w:rsidRPr="00E66F0B" w:rsidRDefault="00C329AB" w:rsidP="00566567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>D</w:t>
      </w:r>
      <w:r w:rsidR="002E3E60">
        <w:t>iscuss with managers the local customs and protocols that should be observed</w:t>
      </w:r>
      <w:r w:rsidR="00B40345">
        <w:t>. E</w:t>
      </w:r>
      <w:r w:rsidR="002E3E60">
        <w:t xml:space="preserve">xplain how doing so could build affinity between the program and the communities it works with. </w:t>
      </w:r>
      <w:r w:rsidR="00B1485E">
        <w:t>A</w:t>
      </w:r>
      <w:r w:rsidR="002E3E60">
        <w:t>dvise on the formal protocols to welcome and farewell guests.</w:t>
      </w:r>
    </w:p>
    <w:sectPr w:rsidR="00033977" w:rsidRPr="00E66F0B" w:rsidSect="00DD35C7">
      <w:type w:val="continuous"/>
      <w:pgSz w:w="11906" w:h="16838"/>
      <w:pgMar w:top="1276" w:right="720" w:bottom="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6F41" w14:textId="77777777" w:rsidR="00CA3388" w:rsidRDefault="00CA3388" w:rsidP="00F740DB">
      <w:pPr>
        <w:spacing w:before="0" w:after="0" w:line="240" w:lineRule="auto"/>
      </w:pPr>
      <w:r>
        <w:separator/>
      </w:r>
    </w:p>
  </w:endnote>
  <w:endnote w:type="continuationSeparator" w:id="0">
    <w:p w14:paraId="327A6DAF" w14:textId="77777777" w:rsidR="00CA3388" w:rsidRDefault="00CA3388" w:rsidP="00F740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24B3" w14:textId="5185D672" w:rsidR="00773CE7" w:rsidRPr="0080358F" w:rsidRDefault="00910E65" w:rsidP="00910E65">
    <w:pPr>
      <w:pStyle w:val="Footer"/>
      <w:jc w:val="right"/>
      <w:rPr>
        <w:b/>
        <w:bCs/>
        <w:lang w:val="en-US"/>
      </w:rPr>
    </w:pPr>
    <w:r w:rsidRPr="0080358F">
      <w:rPr>
        <w:b/>
        <w:bCs/>
        <w:lang w:val="en-US"/>
      </w:rPr>
      <w:t>ACFID Yielding and Wielding Power Toolkit</w:t>
    </w:r>
  </w:p>
  <w:p w14:paraId="410907A8" w14:textId="60970ADE" w:rsidR="00910E65" w:rsidRPr="0080358F" w:rsidRDefault="00910E65" w:rsidP="00910E65">
    <w:pPr>
      <w:pStyle w:val="Footer"/>
      <w:jc w:val="right"/>
      <w:rPr>
        <w:b/>
        <w:bCs/>
        <w:lang w:val="en-US"/>
      </w:rPr>
    </w:pPr>
    <w:hyperlink r:id="rId1" w:history="1">
      <w:r w:rsidRPr="0080358F">
        <w:rPr>
          <w:rStyle w:val="Hyperlink"/>
          <w:b/>
          <w:bCs/>
          <w:lang w:val="en-US"/>
        </w:rPr>
        <w:t>www.LearnWithACFID.com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7EBC" w14:textId="77777777" w:rsidR="00CA3388" w:rsidRDefault="00CA3388" w:rsidP="00F740DB">
      <w:pPr>
        <w:spacing w:before="0" w:after="0" w:line="240" w:lineRule="auto"/>
      </w:pPr>
      <w:r>
        <w:separator/>
      </w:r>
    </w:p>
  </w:footnote>
  <w:footnote w:type="continuationSeparator" w:id="0">
    <w:p w14:paraId="36873FFD" w14:textId="77777777" w:rsidR="00CA3388" w:rsidRDefault="00CA3388" w:rsidP="00F740D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AF6"/>
    <w:multiLevelType w:val="hybridMultilevel"/>
    <w:tmpl w:val="55D66F92"/>
    <w:lvl w:ilvl="0" w:tplc="1F463156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477D94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1CB"/>
    <w:multiLevelType w:val="hybridMultilevel"/>
    <w:tmpl w:val="8A8804B8"/>
    <w:lvl w:ilvl="0" w:tplc="1F463156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477D94"/>
        <w:sz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30F3"/>
    <w:multiLevelType w:val="hybridMultilevel"/>
    <w:tmpl w:val="408C89E8"/>
    <w:lvl w:ilvl="0" w:tplc="FFFFFFFF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477D94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3535">
    <w:abstractNumId w:val="1"/>
  </w:num>
  <w:num w:numId="2" w16cid:durableId="2007248810">
    <w:abstractNumId w:val="2"/>
  </w:num>
  <w:num w:numId="3" w16cid:durableId="178129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5f3ec,#e1dcc8,#eaeef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0A"/>
    <w:rsid w:val="000039AA"/>
    <w:rsid w:val="00004903"/>
    <w:rsid w:val="000139D1"/>
    <w:rsid w:val="00017C30"/>
    <w:rsid w:val="00025663"/>
    <w:rsid w:val="00033977"/>
    <w:rsid w:val="00043AD9"/>
    <w:rsid w:val="0004521F"/>
    <w:rsid w:val="000479D0"/>
    <w:rsid w:val="00050C46"/>
    <w:rsid w:val="0008257E"/>
    <w:rsid w:val="00086952"/>
    <w:rsid w:val="00091348"/>
    <w:rsid w:val="0009238F"/>
    <w:rsid w:val="0009382D"/>
    <w:rsid w:val="0009415C"/>
    <w:rsid w:val="00097748"/>
    <w:rsid w:val="000B795D"/>
    <w:rsid w:val="000C3B91"/>
    <w:rsid w:val="000D3B9D"/>
    <w:rsid w:val="000D5664"/>
    <w:rsid w:val="000E1B8E"/>
    <w:rsid w:val="000F40F4"/>
    <w:rsid w:val="001124E4"/>
    <w:rsid w:val="0011287B"/>
    <w:rsid w:val="0011308C"/>
    <w:rsid w:val="00134F4B"/>
    <w:rsid w:val="00156811"/>
    <w:rsid w:val="001644A9"/>
    <w:rsid w:val="00172A4D"/>
    <w:rsid w:val="0017546B"/>
    <w:rsid w:val="001826EE"/>
    <w:rsid w:val="0018439B"/>
    <w:rsid w:val="0018603B"/>
    <w:rsid w:val="001900EB"/>
    <w:rsid w:val="001A0A6A"/>
    <w:rsid w:val="001B42C6"/>
    <w:rsid w:val="001B4B5C"/>
    <w:rsid w:val="001D0A84"/>
    <w:rsid w:val="001D3AFC"/>
    <w:rsid w:val="001D6C31"/>
    <w:rsid w:val="001E6B2D"/>
    <w:rsid w:val="001E77F6"/>
    <w:rsid w:val="002012E3"/>
    <w:rsid w:val="002036B5"/>
    <w:rsid w:val="002135FC"/>
    <w:rsid w:val="002218A5"/>
    <w:rsid w:val="00223536"/>
    <w:rsid w:val="0023658A"/>
    <w:rsid w:val="00236B88"/>
    <w:rsid w:val="00240B68"/>
    <w:rsid w:val="00243939"/>
    <w:rsid w:val="0024616B"/>
    <w:rsid w:val="002602EF"/>
    <w:rsid w:val="002629F5"/>
    <w:rsid w:val="00263099"/>
    <w:rsid w:val="00267A08"/>
    <w:rsid w:val="00284C35"/>
    <w:rsid w:val="002A3903"/>
    <w:rsid w:val="002A4B6B"/>
    <w:rsid w:val="002B16B9"/>
    <w:rsid w:val="002B1D92"/>
    <w:rsid w:val="002B226C"/>
    <w:rsid w:val="002C36DB"/>
    <w:rsid w:val="002C3B48"/>
    <w:rsid w:val="002C400D"/>
    <w:rsid w:val="002D38C7"/>
    <w:rsid w:val="002D684F"/>
    <w:rsid w:val="002E3E54"/>
    <w:rsid w:val="002E3E60"/>
    <w:rsid w:val="002E614F"/>
    <w:rsid w:val="002F10AE"/>
    <w:rsid w:val="002F2330"/>
    <w:rsid w:val="002F5633"/>
    <w:rsid w:val="00312B26"/>
    <w:rsid w:val="003147EB"/>
    <w:rsid w:val="00315041"/>
    <w:rsid w:val="00323B5C"/>
    <w:rsid w:val="0034492E"/>
    <w:rsid w:val="003450A3"/>
    <w:rsid w:val="00357356"/>
    <w:rsid w:val="00361F31"/>
    <w:rsid w:val="003632E7"/>
    <w:rsid w:val="00364E52"/>
    <w:rsid w:val="003720EC"/>
    <w:rsid w:val="00384B73"/>
    <w:rsid w:val="00385D5A"/>
    <w:rsid w:val="003A35DD"/>
    <w:rsid w:val="003B3E0A"/>
    <w:rsid w:val="003C574A"/>
    <w:rsid w:val="003D5453"/>
    <w:rsid w:val="003D6A16"/>
    <w:rsid w:val="003E12E7"/>
    <w:rsid w:val="003E5139"/>
    <w:rsid w:val="003E7724"/>
    <w:rsid w:val="003F1AA4"/>
    <w:rsid w:val="003F310D"/>
    <w:rsid w:val="003F44D1"/>
    <w:rsid w:val="004011DF"/>
    <w:rsid w:val="0041141F"/>
    <w:rsid w:val="00412037"/>
    <w:rsid w:val="00417F47"/>
    <w:rsid w:val="00424536"/>
    <w:rsid w:val="00425742"/>
    <w:rsid w:val="0042710D"/>
    <w:rsid w:val="00435DA5"/>
    <w:rsid w:val="00440CDE"/>
    <w:rsid w:val="00446B18"/>
    <w:rsid w:val="004559A5"/>
    <w:rsid w:val="00473162"/>
    <w:rsid w:val="00473F5D"/>
    <w:rsid w:val="004906BB"/>
    <w:rsid w:val="004907D2"/>
    <w:rsid w:val="004C28BE"/>
    <w:rsid w:val="004D4FBC"/>
    <w:rsid w:val="004D741A"/>
    <w:rsid w:val="004E4817"/>
    <w:rsid w:val="004E7DD8"/>
    <w:rsid w:val="004F28DF"/>
    <w:rsid w:val="004F36C0"/>
    <w:rsid w:val="00510B51"/>
    <w:rsid w:val="005122A2"/>
    <w:rsid w:val="005129C8"/>
    <w:rsid w:val="00514556"/>
    <w:rsid w:val="00523965"/>
    <w:rsid w:val="005305F4"/>
    <w:rsid w:val="00545E43"/>
    <w:rsid w:val="0056100D"/>
    <w:rsid w:val="00566567"/>
    <w:rsid w:val="005854B3"/>
    <w:rsid w:val="005862BF"/>
    <w:rsid w:val="005957BF"/>
    <w:rsid w:val="00596A39"/>
    <w:rsid w:val="005D075F"/>
    <w:rsid w:val="005F1553"/>
    <w:rsid w:val="005F5567"/>
    <w:rsid w:val="006047F9"/>
    <w:rsid w:val="00606653"/>
    <w:rsid w:val="006146B1"/>
    <w:rsid w:val="00617109"/>
    <w:rsid w:val="00641905"/>
    <w:rsid w:val="00642567"/>
    <w:rsid w:val="0064541E"/>
    <w:rsid w:val="00647746"/>
    <w:rsid w:val="00652CBE"/>
    <w:rsid w:val="006601B4"/>
    <w:rsid w:val="00661AEC"/>
    <w:rsid w:val="0066440B"/>
    <w:rsid w:val="006752DC"/>
    <w:rsid w:val="0067738D"/>
    <w:rsid w:val="006774D8"/>
    <w:rsid w:val="00680A99"/>
    <w:rsid w:val="00684132"/>
    <w:rsid w:val="006852C5"/>
    <w:rsid w:val="006A65E5"/>
    <w:rsid w:val="006B0895"/>
    <w:rsid w:val="006C0B5B"/>
    <w:rsid w:val="006D3B82"/>
    <w:rsid w:val="006E0637"/>
    <w:rsid w:val="006E1192"/>
    <w:rsid w:val="006E58AE"/>
    <w:rsid w:val="006E65C1"/>
    <w:rsid w:val="006F0926"/>
    <w:rsid w:val="00700651"/>
    <w:rsid w:val="007063EA"/>
    <w:rsid w:val="00706CAB"/>
    <w:rsid w:val="00706FB8"/>
    <w:rsid w:val="00712586"/>
    <w:rsid w:val="00713C38"/>
    <w:rsid w:val="00726126"/>
    <w:rsid w:val="00726B94"/>
    <w:rsid w:val="0073388B"/>
    <w:rsid w:val="00735BD9"/>
    <w:rsid w:val="007473E2"/>
    <w:rsid w:val="007628F3"/>
    <w:rsid w:val="007642C6"/>
    <w:rsid w:val="00766ED5"/>
    <w:rsid w:val="0077073B"/>
    <w:rsid w:val="0077377F"/>
    <w:rsid w:val="00773CE7"/>
    <w:rsid w:val="007912F5"/>
    <w:rsid w:val="00795726"/>
    <w:rsid w:val="0079656D"/>
    <w:rsid w:val="00796BF8"/>
    <w:rsid w:val="007A0D20"/>
    <w:rsid w:val="007A48AB"/>
    <w:rsid w:val="007A708A"/>
    <w:rsid w:val="007B2D9F"/>
    <w:rsid w:val="007C249D"/>
    <w:rsid w:val="007E28C8"/>
    <w:rsid w:val="007E6551"/>
    <w:rsid w:val="007F3770"/>
    <w:rsid w:val="007F671C"/>
    <w:rsid w:val="0080033E"/>
    <w:rsid w:val="0080358F"/>
    <w:rsid w:val="0080652F"/>
    <w:rsid w:val="0081062A"/>
    <w:rsid w:val="00817952"/>
    <w:rsid w:val="00823BE0"/>
    <w:rsid w:val="00832EC3"/>
    <w:rsid w:val="00837A6E"/>
    <w:rsid w:val="0084061A"/>
    <w:rsid w:val="00854C9C"/>
    <w:rsid w:val="00861998"/>
    <w:rsid w:val="00861B9D"/>
    <w:rsid w:val="008648E9"/>
    <w:rsid w:val="00866D1A"/>
    <w:rsid w:val="0087674E"/>
    <w:rsid w:val="0088067A"/>
    <w:rsid w:val="00880AA5"/>
    <w:rsid w:val="00883123"/>
    <w:rsid w:val="008A1EDE"/>
    <w:rsid w:val="008A57B6"/>
    <w:rsid w:val="008B1537"/>
    <w:rsid w:val="008D36EF"/>
    <w:rsid w:val="008E53E0"/>
    <w:rsid w:val="008E602D"/>
    <w:rsid w:val="008F3802"/>
    <w:rsid w:val="008F3AE1"/>
    <w:rsid w:val="008F4437"/>
    <w:rsid w:val="00910E65"/>
    <w:rsid w:val="009175BA"/>
    <w:rsid w:val="00936B73"/>
    <w:rsid w:val="00957719"/>
    <w:rsid w:val="00967205"/>
    <w:rsid w:val="00972BC8"/>
    <w:rsid w:val="00985140"/>
    <w:rsid w:val="009942ED"/>
    <w:rsid w:val="00995DF9"/>
    <w:rsid w:val="00997F24"/>
    <w:rsid w:val="009A197E"/>
    <w:rsid w:val="009A3FA1"/>
    <w:rsid w:val="009A5993"/>
    <w:rsid w:val="009B46F2"/>
    <w:rsid w:val="009B7909"/>
    <w:rsid w:val="009C7349"/>
    <w:rsid w:val="009D7EB0"/>
    <w:rsid w:val="009E1B50"/>
    <w:rsid w:val="009E30C9"/>
    <w:rsid w:val="00A22481"/>
    <w:rsid w:val="00A2457E"/>
    <w:rsid w:val="00A31ADA"/>
    <w:rsid w:val="00A34250"/>
    <w:rsid w:val="00A351AD"/>
    <w:rsid w:val="00A36628"/>
    <w:rsid w:val="00A41587"/>
    <w:rsid w:val="00A60323"/>
    <w:rsid w:val="00A60D48"/>
    <w:rsid w:val="00A634B9"/>
    <w:rsid w:val="00A71C59"/>
    <w:rsid w:val="00A8315C"/>
    <w:rsid w:val="00A8550C"/>
    <w:rsid w:val="00A8578B"/>
    <w:rsid w:val="00A948CC"/>
    <w:rsid w:val="00A96DFE"/>
    <w:rsid w:val="00AA7554"/>
    <w:rsid w:val="00AA7A34"/>
    <w:rsid w:val="00AA7E03"/>
    <w:rsid w:val="00AB7724"/>
    <w:rsid w:val="00AC0B33"/>
    <w:rsid w:val="00AC3A9D"/>
    <w:rsid w:val="00AC64D9"/>
    <w:rsid w:val="00AD0B14"/>
    <w:rsid w:val="00AF4F48"/>
    <w:rsid w:val="00B04782"/>
    <w:rsid w:val="00B0729B"/>
    <w:rsid w:val="00B12728"/>
    <w:rsid w:val="00B1485E"/>
    <w:rsid w:val="00B149C6"/>
    <w:rsid w:val="00B17EAC"/>
    <w:rsid w:val="00B23668"/>
    <w:rsid w:val="00B35C55"/>
    <w:rsid w:val="00B3718A"/>
    <w:rsid w:val="00B37B3F"/>
    <w:rsid w:val="00B40345"/>
    <w:rsid w:val="00B7062A"/>
    <w:rsid w:val="00B73B3A"/>
    <w:rsid w:val="00B85798"/>
    <w:rsid w:val="00BB3F6B"/>
    <w:rsid w:val="00BC2D2A"/>
    <w:rsid w:val="00BC64B9"/>
    <w:rsid w:val="00BD44A7"/>
    <w:rsid w:val="00BE159F"/>
    <w:rsid w:val="00BE5708"/>
    <w:rsid w:val="00BE62AE"/>
    <w:rsid w:val="00BE737A"/>
    <w:rsid w:val="00BE7D3B"/>
    <w:rsid w:val="00BF1E86"/>
    <w:rsid w:val="00BF3862"/>
    <w:rsid w:val="00C03336"/>
    <w:rsid w:val="00C1456F"/>
    <w:rsid w:val="00C27CBB"/>
    <w:rsid w:val="00C32077"/>
    <w:rsid w:val="00C329AB"/>
    <w:rsid w:val="00C34789"/>
    <w:rsid w:val="00C41D27"/>
    <w:rsid w:val="00C4481E"/>
    <w:rsid w:val="00C52E71"/>
    <w:rsid w:val="00C5453C"/>
    <w:rsid w:val="00C60267"/>
    <w:rsid w:val="00C6557B"/>
    <w:rsid w:val="00C71189"/>
    <w:rsid w:val="00C73726"/>
    <w:rsid w:val="00C94F78"/>
    <w:rsid w:val="00CA3388"/>
    <w:rsid w:val="00CA347C"/>
    <w:rsid w:val="00CC07BB"/>
    <w:rsid w:val="00CC6DA5"/>
    <w:rsid w:val="00CC716E"/>
    <w:rsid w:val="00CC7423"/>
    <w:rsid w:val="00CD3572"/>
    <w:rsid w:val="00CD7749"/>
    <w:rsid w:val="00CE54B9"/>
    <w:rsid w:val="00CF0CCA"/>
    <w:rsid w:val="00CF106E"/>
    <w:rsid w:val="00CF403A"/>
    <w:rsid w:val="00D01358"/>
    <w:rsid w:val="00D05B94"/>
    <w:rsid w:val="00D076D8"/>
    <w:rsid w:val="00D24423"/>
    <w:rsid w:val="00D4774C"/>
    <w:rsid w:val="00D5150A"/>
    <w:rsid w:val="00D72D2B"/>
    <w:rsid w:val="00D75B67"/>
    <w:rsid w:val="00D825C2"/>
    <w:rsid w:val="00DA15BF"/>
    <w:rsid w:val="00DA2FD0"/>
    <w:rsid w:val="00DA3B7E"/>
    <w:rsid w:val="00DB3847"/>
    <w:rsid w:val="00DC1AFB"/>
    <w:rsid w:val="00DC216D"/>
    <w:rsid w:val="00DC27C9"/>
    <w:rsid w:val="00DC77BB"/>
    <w:rsid w:val="00DD35C7"/>
    <w:rsid w:val="00DD7140"/>
    <w:rsid w:val="00DF0400"/>
    <w:rsid w:val="00DF4C7B"/>
    <w:rsid w:val="00DF4DCA"/>
    <w:rsid w:val="00DF52BA"/>
    <w:rsid w:val="00E01FEB"/>
    <w:rsid w:val="00E025E3"/>
    <w:rsid w:val="00E02622"/>
    <w:rsid w:val="00E10458"/>
    <w:rsid w:val="00E1242D"/>
    <w:rsid w:val="00E12AFC"/>
    <w:rsid w:val="00E2136D"/>
    <w:rsid w:val="00E227DC"/>
    <w:rsid w:val="00E251CC"/>
    <w:rsid w:val="00E26EB1"/>
    <w:rsid w:val="00E3635C"/>
    <w:rsid w:val="00E37DF2"/>
    <w:rsid w:val="00E44DFA"/>
    <w:rsid w:val="00E45674"/>
    <w:rsid w:val="00E536A0"/>
    <w:rsid w:val="00E61B5E"/>
    <w:rsid w:val="00E664C0"/>
    <w:rsid w:val="00E66F0B"/>
    <w:rsid w:val="00E77B28"/>
    <w:rsid w:val="00E905EA"/>
    <w:rsid w:val="00E9135E"/>
    <w:rsid w:val="00E94CFB"/>
    <w:rsid w:val="00E9671E"/>
    <w:rsid w:val="00EA3A46"/>
    <w:rsid w:val="00EA50AD"/>
    <w:rsid w:val="00EB3B58"/>
    <w:rsid w:val="00EC3548"/>
    <w:rsid w:val="00EC5FBF"/>
    <w:rsid w:val="00EC6F80"/>
    <w:rsid w:val="00ED1EDB"/>
    <w:rsid w:val="00ED1F23"/>
    <w:rsid w:val="00ED1F75"/>
    <w:rsid w:val="00ED38D3"/>
    <w:rsid w:val="00ED3C7F"/>
    <w:rsid w:val="00ED42DB"/>
    <w:rsid w:val="00ED6C5C"/>
    <w:rsid w:val="00ED7D7D"/>
    <w:rsid w:val="00EE6318"/>
    <w:rsid w:val="00EE6DB8"/>
    <w:rsid w:val="00EE798E"/>
    <w:rsid w:val="00EF03F4"/>
    <w:rsid w:val="00EF4E99"/>
    <w:rsid w:val="00EF7BA0"/>
    <w:rsid w:val="00F008F9"/>
    <w:rsid w:val="00F03AD4"/>
    <w:rsid w:val="00F10A3F"/>
    <w:rsid w:val="00F130A7"/>
    <w:rsid w:val="00F14D38"/>
    <w:rsid w:val="00F22E4F"/>
    <w:rsid w:val="00F25990"/>
    <w:rsid w:val="00F26CC2"/>
    <w:rsid w:val="00F3005E"/>
    <w:rsid w:val="00F45C05"/>
    <w:rsid w:val="00F56600"/>
    <w:rsid w:val="00F740DB"/>
    <w:rsid w:val="00F75D2E"/>
    <w:rsid w:val="00F839C0"/>
    <w:rsid w:val="00F85CFF"/>
    <w:rsid w:val="00F901E9"/>
    <w:rsid w:val="00F96AC6"/>
    <w:rsid w:val="00FA3E8A"/>
    <w:rsid w:val="00FB3169"/>
    <w:rsid w:val="00FB6E45"/>
    <w:rsid w:val="00FC4E36"/>
    <w:rsid w:val="00FC68A4"/>
    <w:rsid w:val="00FD0207"/>
    <w:rsid w:val="00FD083F"/>
    <w:rsid w:val="00FD4246"/>
    <w:rsid w:val="00FD4EE6"/>
    <w:rsid w:val="00FE0CD1"/>
    <w:rsid w:val="00FF6F00"/>
    <w:rsid w:val="7987A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f3ec,#e1dcc8,#eaeef1"/>
    </o:shapedefaults>
    <o:shapelayout v:ext="edit">
      <o:idmap v:ext="edit" data="2"/>
    </o:shapelayout>
  </w:shapeDefaults>
  <w:decimalSymbol w:val="."/>
  <w:listSeparator w:val=","/>
  <w14:docId w14:val="50315675"/>
  <w15:docId w15:val="{90D645E9-8835-49D2-B9FC-CC6D75A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D8"/>
    <w:pPr>
      <w:pBdr>
        <w:top w:val="single" w:sz="48" w:space="12" w:color="EAEEF1"/>
        <w:left w:val="single" w:sz="48" w:space="16" w:color="EAEEF1"/>
        <w:bottom w:val="single" w:sz="48" w:space="12" w:color="EAEEF1"/>
        <w:right w:val="single" w:sz="48" w:space="16" w:color="EAEEF1"/>
      </w:pBdr>
      <w:shd w:val="clear" w:color="auto" w:fill="EAEEF1"/>
      <w:spacing w:before="80" w:after="3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4A9"/>
    <w:pPr>
      <w:keepNext/>
      <w:keepLines/>
      <w:pBdr>
        <w:left w:val="none" w:sz="0" w:space="0" w:color="auto"/>
        <w:bottom w:val="none" w:sz="0" w:space="0" w:color="auto"/>
        <w:right w:val="none" w:sz="0" w:space="0" w:color="auto"/>
      </w:pBdr>
      <w:spacing w:before="0" w:after="120"/>
      <w:outlineLvl w:val="0"/>
    </w:pPr>
    <w:rPr>
      <w:rFonts w:eastAsiaTheme="majorEastAsia" w:cstheme="majorBidi"/>
      <w:b/>
      <w:color w:val="477D9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57B"/>
    <w:pPr>
      <w:keepNext/>
      <w:keepLines/>
      <w:pBdr>
        <w:left w:val="none" w:sz="0" w:space="0" w:color="auto"/>
        <w:bottom w:val="none" w:sz="0" w:space="0" w:color="auto"/>
        <w:right w:val="none" w:sz="0" w:space="0" w:color="auto"/>
      </w:pBdr>
      <w:spacing w:before="240" w:after="8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AE"/>
    <w:pPr>
      <w:keepNext/>
      <w:keepLines/>
      <w:spacing w:before="720" w:after="240"/>
      <w:outlineLvl w:val="2"/>
    </w:pPr>
    <w:rPr>
      <w:rFonts w:eastAsiaTheme="majorEastAsia" w:cstheme="majorBidi"/>
      <w:b/>
      <w:color w:val="AD9610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0AE"/>
    <w:pPr>
      <w:keepNext/>
      <w:keepLines/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ory">
    <w:name w:val="Introductory"/>
    <w:basedOn w:val="Normal"/>
    <w:link w:val="IntroductoryChar"/>
    <w:qFormat/>
    <w:rsid w:val="00E536A0"/>
    <w:pPr>
      <w:spacing w:before="0" w:after="0"/>
    </w:pPr>
    <w:rPr>
      <w:rFonts w:eastAsia="Times New Roman" w:cs="Calibri"/>
      <w:b/>
      <w:i/>
      <w:color w:val="477D94"/>
      <w:sz w:val="40"/>
      <w:szCs w:val="24"/>
      <w:lang w:val="en-US" w:eastAsia="en-AU"/>
    </w:rPr>
  </w:style>
  <w:style w:type="character" w:customStyle="1" w:styleId="IntroductoryChar">
    <w:name w:val="Introductory Char"/>
    <w:basedOn w:val="DefaultParagraphFont"/>
    <w:link w:val="Introductory"/>
    <w:rsid w:val="00E536A0"/>
    <w:rPr>
      <w:rFonts w:ascii="Arial" w:eastAsia="Times New Roman" w:hAnsi="Arial" w:cs="Calibri"/>
      <w:b/>
      <w:i/>
      <w:color w:val="477D94"/>
      <w:sz w:val="40"/>
      <w:szCs w:val="24"/>
      <w:shd w:val="clear" w:color="auto" w:fill="EAEEF1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644A9"/>
    <w:rPr>
      <w:rFonts w:ascii="Arial" w:eastAsiaTheme="majorEastAsia" w:hAnsi="Arial" w:cstheme="majorBidi"/>
      <w:b/>
      <w:color w:val="477D94"/>
      <w:sz w:val="36"/>
      <w:szCs w:val="32"/>
      <w:shd w:val="clear" w:color="auto" w:fill="EAEEF1"/>
    </w:rPr>
  </w:style>
  <w:style w:type="character" w:customStyle="1" w:styleId="Heading2Char">
    <w:name w:val="Heading 2 Char"/>
    <w:basedOn w:val="DefaultParagraphFont"/>
    <w:link w:val="Heading2"/>
    <w:uiPriority w:val="9"/>
    <w:rsid w:val="00C6557B"/>
    <w:rPr>
      <w:rFonts w:ascii="Arial" w:eastAsiaTheme="majorEastAsia" w:hAnsi="Arial" w:cstheme="majorBidi"/>
      <w:b/>
      <w:sz w:val="24"/>
      <w:szCs w:val="26"/>
      <w:shd w:val="clear" w:color="auto" w:fill="EAEEF1"/>
    </w:rPr>
  </w:style>
  <w:style w:type="paragraph" w:styleId="Title">
    <w:name w:val="Title"/>
    <w:basedOn w:val="Normal"/>
    <w:next w:val="Normal"/>
    <w:link w:val="TitleChar"/>
    <w:uiPriority w:val="10"/>
    <w:qFormat/>
    <w:rsid w:val="00FC4E36"/>
    <w:pPr>
      <w:pBdr>
        <w:top w:val="single" w:sz="48" w:space="12" w:color="477D94"/>
        <w:left w:val="single" w:sz="48" w:space="16" w:color="477D94"/>
        <w:bottom w:val="single" w:sz="48" w:space="12" w:color="477D94"/>
        <w:right w:val="single" w:sz="48" w:space="16" w:color="477D94"/>
      </w:pBdr>
      <w:shd w:val="solid" w:color="477D94" w:fill="auto"/>
      <w:spacing w:before="0" w:after="24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E36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shd w:val="solid" w:color="477D94" w:fill="auto"/>
    </w:rPr>
  </w:style>
  <w:style w:type="paragraph" w:styleId="ListParagraph">
    <w:name w:val="List Paragraph"/>
    <w:basedOn w:val="Normal"/>
    <w:uiPriority w:val="34"/>
    <w:qFormat/>
    <w:rsid w:val="001644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10AE"/>
    <w:rPr>
      <w:rFonts w:ascii="Arial" w:eastAsiaTheme="majorEastAsia" w:hAnsi="Arial" w:cstheme="majorBidi"/>
      <w:b/>
      <w:color w:val="AD961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10AE"/>
    <w:rPr>
      <w:rFonts w:ascii="Arial" w:eastAsiaTheme="majorEastAsia" w:hAnsi="Arial" w:cstheme="majorBidi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4F3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C0"/>
    <w:rPr>
      <w:color w:val="605E5C"/>
      <w:shd w:val="clear" w:color="auto" w:fill="E1DFDD"/>
    </w:rPr>
  </w:style>
  <w:style w:type="paragraph" w:customStyle="1" w:styleId="Note">
    <w:name w:val="Note"/>
    <w:basedOn w:val="Normal"/>
    <w:link w:val="NoteChar"/>
    <w:qFormat/>
    <w:rsid w:val="00ED1EDB"/>
    <w:pPr>
      <w:pBdr>
        <w:top w:val="single" w:sz="24" w:space="4" w:color="FFC000"/>
        <w:left w:val="single" w:sz="24" w:space="5" w:color="FFC000"/>
        <w:bottom w:val="single" w:sz="24" w:space="4" w:color="FFC000"/>
        <w:right w:val="single" w:sz="24" w:space="5" w:color="FFC000"/>
      </w:pBdr>
      <w:shd w:val="clear" w:color="auto" w:fill="FFC000"/>
      <w:spacing w:before="0" w:after="0"/>
    </w:pPr>
  </w:style>
  <w:style w:type="character" w:customStyle="1" w:styleId="NoteChar">
    <w:name w:val="Note Char"/>
    <w:basedOn w:val="DefaultParagraphFont"/>
    <w:link w:val="Note"/>
    <w:rsid w:val="00ED1EDB"/>
    <w:rPr>
      <w:rFonts w:ascii="Arial" w:hAnsi="Arial"/>
      <w:shd w:val="clear" w:color="auto" w:fill="FFC000"/>
    </w:rPr>
  </w:style>
  <w:style w:type="paragraph" w:styleId="Header">
    <w:name w:val="header"/>
    <w:basedOn w:val="Normal"/>
    <w:link w:val="HeaderChar"/>
    <w:uiPriority w:val="99"/>
    <w:unhideWhenUsed/>
    <w:rsid w:val="00F740D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0DB"/>
    <w:rPr>
      <w:rFonts w:ascii="Arial" w:hAnsi="Arial"/>
      <w:shd w:val="clear" w:color="auto" w:fill="EAEEF1"/>
    </w:rPr>
  </w:style>
  <w:style w:type="paragraph" w:styleId="Footer">
    <w:name w:val="footer"/>
    <w:basedOn w:val="Normal"/>
    <w:link w:val="FooterChar"/>
    <w:uiPriority w:val="99"/>
    <w:unhideWhenUsed/>
    <w:rsid w:val="00910E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E6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hrome.google.com/webstore/detail/simultaneous-interpretati/ofcbaogakobldnkeaabmfndopboipmih?hl=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lp.webex.com/en-us/article/o0p0l4/Simultaneous-interpretation-in-Webex-meetings-and-webina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hrome.google.com/webstore/detail/simultaneous-interpretati/ofcbaogakobldnkeaabmfndopboipmih?hl=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zoom.us/hc/en-us/articles/360034919791-Using-Language-Interpretation-in-your-meeting-or-webinar" TargetMode="External"/><Relationship Id="rId5" Type="http://schemas.openxmlformats.org/officeDocument/2006/relationships/styles" Target="styles.xml"/><Relationship Id="rId15" Type="http://schemas.openxmlformats.org/officeDocument/2006/relationships/hyperlink" Target="https://help.webex.com/en-us/article/o0p0l4/Simultaneous-interpretation-in-Webex-meetings-and-webinars" TargetMode="Externa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pport.zoom.us/hc/en-us/articles/360034919791-Using-Language-Interpretation-in-your-meeting-or-webin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WithACFID.com" TargetMode="External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C4C4C"/>
      </a:dk2>
      <a:lt2>
        <a:srgbClr val="CEC6A4"/>
      </a:lt2>
      <a:accent1>
        <a:srgbClr val="AD9610"/>
      </a:accent1>
      <a:accent2>
        <a:srgbClr val="707070"/>
      </a:accent2>
      <a:accent3>
        <a:srgbClr val="BF793A"/>
      </a:accent3>
      <a:accent4>
        <a:srgbClr val="4C4C4C"/>
      </a:accent4>
      <a:accent5>
        <a:srgbClr val="98ADBB"/>
      </a:accent5>
      <a:accent6>
        <a:srgbClr val="968C9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8448691C6C64C9FAFBF2C8AC0F1DD" ma:contentTypeVersion="14" ma:contentTypeDescription="Create a new document." ma:contentTypeScope="" ma:versionID="26dd75b18dadb5ef9cdd0fdc668acd5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6a434d51-c759-4cdf-9983-ab5f8d80014b" targetNamespace="http://schemas.microsoft.com/office/2006/metadata/properties" ma:root="true" ma:fieldsID="4b556aad328726ea26ed2566d248715a" ns2:_="" ns3:_="" ns4:_="">
    <xsd:import namespace="http://schemas.microsoft.com/sharepoint/v4"/>
    <xsd:import namespace="90eb63da-8d7e-4c67-a224-4c9befe50fbc"/>
    <xsd:import namespace="6a434d51-c759-4cdf-9983-ab5f8d80014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34d51-c759-4cdf-9983-ab5f8d800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>Freya Whereat</DisplayName>
        <AccountId>8093</AccountId>
        <AccountType/>
      </UserInfo>
      <UserInfo>
        <DisplayName>Shweta Tank</DisplayName>
        <AccountId>6982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7A281-4E7F-49F5-810B-8C956985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6a434d51-c759-4cdf-9983-ab5f8d800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4DA5D-27AB-4975-8579-183D24E5EBB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customXml/itemProps3.xml><?xml version="1.0" encoding="utf-8"?>
<ds:datastoreItem xmlns:ds="http://schemas.openxmlformats.org/officeDocument/2006/customXml" ds:itemID="{64DA27D2-ACF0-45FB-9358-B84A12BF0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Smith</dc:creator>
  <cp:keywords/>
  <dc:description/>
  <cp:lastModifiedBy>Jess Smith</cp:lastModifiedBy>
  <cp:revision>41</cp:revision>
  <dcterms:created xsi:type="dcterms:W3CDTF">2022-04-21T04:16:00Z</dcterms:created>
  <dcterms:modified xsi:type="dcterms:W3CDTF">2022-05-18T06:16:00Z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0x0101007B08448691C6C64C9FAFBF2C8AC0F1DD</vt:lpwstr>
  </property>
</Properties>
</file>